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COMPARAISON DES CENTRALES 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s’aider du livre p 118 à 121</w:t>
      </w:r>
    </w:p>
    <w:tbl>
      <w:tblPr>
        <w:tblStyle w:val="4"/>
        <w:tblW w:w="15480" w:type="dxa"/>
        <w:tblInd w:w="-74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2637"/>
        <w:gridCol w:w="33"/>
        <w:gridCol w:w="2604"/>
        <w:gridCol w:w="67"/>
        <w:gridCol w:w="2670"/>
        <w:gridCol w:w="2791"/>
        <w:gridCol w:w="255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Centrale</w:t>
            </w:r>
          </w:p>
        </w:tc>
        <w:tc>
          <w:tcPr>
            <w:tcW w:w="2670" w:type="dxa"/>
            <w:gridSpan w:val="2"/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à flamme</w:t>
            </w:r>
          </w:p>
        </w:tc>
        <w:tc>
          <w:tcPr>
            <w:tcW w:w="2671" w:type="dxa"/>
            <w:gridSpan w:val="2"/>
            <w:tcBorders>
              <w:right w:val="single" w:color="000000" w:themeColor="text1" w:sz="4" w:space="0"/>
            </w:tcBorders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nucléaire</w:t>
            </w:r>
          </w:p>
        </w:tc>
        <w:tc>
          <w:tcPr>
            <w:tcW w:w="2670" w:type="dxa"/>
            <w:tcBorders>
              <w:left w:val="single" w:color="000000" w:themeColor="text1" w:sz="4" w:space="0"/>
            </w:tcBorders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Eolienne</w:t>
            </w:r>
          </w:p>
        </w:tc>
        <w:tc>
          <w:tcPr>
            <w:tcW w:w="2791" w:type="dxa"/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Hydroélectrique</w:t>
            </w:r>
          </w:p>
        </w:tc>
        <w:tc>
          <w:tcPr>
            <w:tcW w:w="2551" w:type="dxa"/>
            <w:shd w:val="clear" w:color="auto" w:fill="BEBEBE" w:themeFill="background1" w:themeFillShade="BF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Solaire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Source utilisée</w:t>
            </w:r>
          </w:p>
        </w:tc>
        <w:tc>
          <w:tcPr>
            <w:tcW w:w="2670" w:type="dxa"/>
            <w:gridSpan w:val="2"/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>Vapeur d’eau</w:t>
            </w:r>
          </w:p>
        </w:tc>
        <w:tc>
          <w:tcPr>
            <w:tcW w:w="2671" w:type="dxa"/>
            <w:gridSpan w:val="2"/>
            <w:tcBorders>
              <w:right w:val="single" w:color="000000" w:themeColor="text1" w:sz="4" w:space="0"/>
            </w:tcBorders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>Combustible nucléaire</w:t>
            </w:r>
          </w:p>
        </w:tc>
        <w:tc>
          <w:tcPr>
            <w:tcW w:w="2670" w:type="dxa"/>
            <w:tcBorders>
              <w:left w:val="single" w:color="000000" w:themeColor="text1" w:sz="4" w:space="0"/>
              <w:bottom w:val="single" w:color="auto" w:sz="4" w:space="0"/>
            </w:tcBorders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>Le vent</w:t>
            </w:r>
          </w:p>
        </w:tc>
        <w:tc>
          <w:tcPr>
            <w:tcW w:w="2791" w:type="dxa"/>
            <w:tcBorders>
              <w:bottom w:val="single" w:color="auto" w:sz="4" w:space="0"/>
            </w:tcBorders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>De l’eau</w:t>
            </w:r>
          </w:p>
        </w:tc>
        <w:tc>
          <w:tcPr>
            <w:tcW w:w="2551" w:type="dxa"/>
            <w:tcBorders>
              <w:bottom w:val="single" w:color="auto" w:sz="4" w:space="0"/>
            </w:tcBorders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Soleil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Elément commun</w:t>
            </w:r>
          </w:p>
        </w:tc>
        <w:tc>
          <w:tcPr>
            <w:tcW w:w="10802" w:type="dxa"/>
            <w:gridSpan w:val="6"/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Ça produit de l’energie </w:t>
            </w:r>
          </w:p>
        </w:tc>
        <w:tc>
          <w:tcPr>
            <w:tcW w:w="2551" w:type="dxa"/>
            <w:shd w:val="clear" w:color="auto" w:fill="A5A5A5" w:themeFill="background1" w:themeFillShade="A6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Conversion commune</w:t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02" w:type="dxa"/>
            <w:gridSpan w:val="6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4007485</wp:posOffset>
                      </wp:positionH>
                      <wp:positionV relativeFrom="paragraph">
                        <wp:posOffset>239395</wp:posOffset>
                      </wp:positionV>
                      <wp:extent cx="1352550" cy="333375"/>
                      <wp:effectExtent l="0" t="57150" r="0" b="28575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5255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4" o:spid="_x0000_s1026" o:spt="32" type="#_x0000_t32" style="position:absolute;left:0pt;flip:y;margin-left:315.55pt;margin-top:18.85pt;height:26.25pt;width:106.5pt;z-index:251664384;mso-width-relative:page;mso-height-relative:page;" filled="f" stroked="t" coordsize="21600,21600" o:gfxdata="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K3PQCvYAAAACQEAAA8AAAAAAAAAAQAgAAAAIgAAAGRycy9kb3ducmV2LnhtbFBLAQIUABQAAAAI&#10;AIdO4kD2lmvk7QEAALgDAAAOAAAAAAAAAAEAIAAAACcBAABkcnMvZTJvRG9jLnhtbFBLBQYAAAAA&#10;BgAGAFkBAACGBQAAAAA=&#10;">
                      <v:fill on="f" focussize="0,0"/>
                      <v:stroke weight="0.5pt" color="#4472C4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296545</wp:posOffset>
                      </wp:positionV>
                      <wp:extent cx="1352550" cy="790575"/>
                      <wp:effectExtent l="0" t="0" r="19050" b="28575"/>
                      <wp:wrapNone/>
                      <wp:docPr id="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7905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Ellipse 1" o:spid="_x0000_s1026" o:spt="3" type="#_x0000_t3" style="position:absolute;left:0pt;margin-left:194.8pt;margin-top:23.35pt;height:62.25pt;width:106.5pt;z-index:251659264;v-text-anchor:middle;mso-width-relative:page;mso-height-relative:page;" filled="f" stroked="t" coordsize="21600,21600" o:gfxdata="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L8Tdp9kAAAAKAQAA&#10;DwAAAAAAAAABACAAAAAiAAAAZHJzL2Rvd25yZXYueG1sUEsBAhQAFAAAAAgAh07iQL97MrNRAgAA&#10;ogQAAA4AAAAAAAAAAQAgAAAAKAEAAGRycy9lMm9Eb2MueG1sUEsFBgAAAAAGAAYAWQEAAOsFAAAA&#10;AA==&#10;">
                      <v:fill on="f" focussize="0,0"/>
                      <v:stroke weight="1pt" color="#2F528F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353695</wp:posOffset>
                      </wp:positionV>
                      <wp:extent cx="1400175" cy="9525"/>
                      <wp:effectExtent l="0" t="57150" r="28575" b="85725"/>
                      <wp:wrapNone/>
                      <wp:docPr id="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" o:spid="_x0000_s1026" o:spt="32" type="#_x0000_t32" style="position:absolute;left:0pt;margin-left:67.25pt;margin-top:27.85pt;height:0.75pt;width:110.25pt;z-index:251660288;mso-width-relative:page;mso-height-relative:page;" filled="f" stroked="t" coordsize="21600,21600" o:gfxdata="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MdqU3bYAAAA&#10;CQEAAA8AAAAAAAAAAQAgAAAAIgAAAGRycy9kb3ducmV2LnhtbFBLAQIUABQAAAAIAIdO4kDVLsIN&#10;5AEAAJ4DAAAOAAAAAAAAAAEAIAAAACcBAABkcnMvZTJvRG9jLnhtbFBLBQYAAAAABgAGAFkBAAB9&#10;BQAAAAA=&#10;">
                      <v:fill on="f" focussize="0,0"/>
                      <v:stroke weight="0.5pt" color="#4472C4 [3204]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Combustible </w:t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4026535</wp:posOffset>
                      </wp:positionH>
                      <wp:positionV relativeFrom="paragraph">
                        <wp:posOffset>76835</wp:posOffset>
                      </wp:positionV>
                      <wp:extent cx="1362075" cy="276225"/>
                      <wp:effectExtent l="0" t="0" r="66675" b="85725"/>
                      <wp:wrapNone/>
                      <wp:docPr id="3" name="Connecteur droit avec flèch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3" o:spid="_x0000_s1026" o:spt="32" type="#_x0000_t32" style="position:absolute;left:0pt;margin-left:317.05pt;margin-top:6.05pt;height:21.75pt;width:107.25pt;z-index:251662336;mso-width-relative:page;mso-height-relative:page;" filled="f" stroked="t" coordsize="21600,21600" o:gfxdata="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I&#10;+0032QAAAAkBAAAPAAAAAAAAAAEAIAAAACIAAABkcnMvZG93bnJldi54bWxQSwECFAAUAAAACACH&#10;TuJACAI2QuoBAACuAwAADgAAAAAAAAABACAAAAAoAQAAZHJzL2Uyb0RvYy54bWxQSwUGAAAAAAYA&#10;BgBZAQAAhAUAAAAA&#10;">
                      <v:fill on="f" focussize="0,0"/>
                      <v:stroke weight="0.5pt" color="#4472C4" miterlimit="8" joinstyle="miter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color="000000" w:themeColor="text1" w:sz="4" w:space="0"/>
            </w:tcBorders>
            <w:shd w:val="clear" w:color="auto" w:fill="A5A5A5" w:themeFill="background1" w:themeFillShade="A6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Avantages</w:t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4" w:type="dxa"/>
            <w:gridSpan w:val="3"/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Ca produit de l’énergie </w:t>
            </w:r>
          </w:p>
        </w:tc>
        <w:tc>
          <w:tcPr>
            <w:tcW w:w="8079" w:type="dxa"/>
            <w:gridSpan w:val="4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2127" w:type="dxa"/>
            <w:vMerge w:val="restart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Inconvénients</w:t>
            </w:r>
          </w:p>
        </w:tc>
        <w:tc>
          <w:tcPr>
            <w:tcW w:w="5274" w:type="dxa"/>
            <w:gridSpan w:val="3"/>
            <w:tcBorders>
              <w:right w:val="single" w:color="000000" w:themeColor="text1" w:sz="4" w:space="0"/>
            </w:tcBorders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Ca pollue </w:t>
            </w:r>
          </w:p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 w:val="restart"/>
            <w:tcBorders>
              <w:left w:val="single" w:color="000000" w:themeColor="text1" w:sz="4" w:space="0"/>
            </w:tcBorders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2127" w:type="dxa"/>
            <w:vMerge w:val="continu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7" w:type="dxa"/>
            <w:tcBorders>
              <w:right w:val="single" w:color="000000" w:themeColor="text1" w:sz="4" w:space="0"/>
            </w:tcBorders>
          </w:tcPr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  <w:t xml:space="preserve">Ca prend de la place </w:t>
            </w:r>
          </w:p>
          <w:p>
            <w:pPr>
              <w:rPr>
                <w:rFonts w:hint="default" w:ascii="Times New Roman" w:hAnsi="Times New Roman" w:cs="Times New Roman"/>
                <w:b/>
                <w:sz w:val="28"/>
                <w:szCs w:val="28"/>
                <w:lang w:val="fr-FR"/>
              </w:rPr>
            </w:pPr>
          </w:p>
        </w:tc>
        <w:tc>
          <w:tcPr>
            <w:tcW w:w="2637" w:type="dxa"/>
            <w:gridSpan w:val="2"/>
            <w:tcBorders>
              <w:right w:val="single" w:color="000000" w:themeColor="text1" w:sz="4" w:space="0"/>
            </w:tcBorders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 w:val="continue"/>
            <w:tcBorders>
              <w:left w:val="single" w:color="000000" w:themeColor="text1" w:sz="4" w:space="0"/>
            </w:tcBorders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D’autres centrales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Fais des recherches sur internet pour comprendre le fonctionnement d’autres centrales électriques citées ci-dessous et inscris dans le tableau la source d’énergie utilisée pour chacune: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13274" w:type="dxa"/>
        <w:tblInd w:w="72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0"/>
        <w:gridCol w:w="960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3670" w:type="dxa"/>
            <w:shd w:val="clear" w:color="auto" w:fill="BEBEBE" w:themeFill="background1" w:themeFillShade="BF"/>
          </w:tcPr>
          <w:p>
            <w:pPr>
              <w:pStyle w:val="5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Centrale électrique</w:t>
            </w:r>
          </w:p>
        </w:tc>
        <w:tc>
          <w:tcPr>
            <w:tcW w:w="9604" w:type="dxa"/>
            <w:shd w:val="clear" w:color="auto" w:fill="BEBEBE" w:themeFill="background1" w:themeFillShade="BF"/>
          </w:tcPr>
          <w:p>
            <w:pPr>
              <w:pStyle w:val="5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Source d’énergie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0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géothermique</w:t>
            </w:r>
          </w:p>
        </w:tc>
        <w:tc>
          <w:tcPr>
            <w:tcW w:w="9604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ind w:left="0"/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  <w:t>géothermie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0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Hydrolienne</w:t>
            </w:r>
          </w:p>
        </w:tc>
        <w:tc>
          <w:tcPr>
            <w:tcW w:w="9604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ind w:left="0"/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  <w:t>vents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0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marémotrice</w:t>
            </w:r>
          </w:p>
        </w:tc>
        <w:tc>
          <w:tcPr>
            <w:tcW w:w="9604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ind w:left="0"/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  <w:t>marée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0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biomasse</w:t>
            </w:r>
          </w:p>
        </w:tc>
        <w:tc>
          <w:tcPr>
            <w:tcW w:w="9604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ind w:left="0"/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fr-FR"/>
              </w:rPr>
              <w:t>biomasse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0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à biogaz</w:t>
            </w:r>
          </w:p>
        </w:tc>
        <w:tc>
          <w:tcPr>
            <w:tcW w:w="9604" w:type="dxa"/>
          </w:tcPr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Quel est le point commun de toutes ces centrales ?</w:t>
      </w:r>
    </w:p>
    <w:p>
      <w:pPr>
        <w:pStyle w:val="5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fr-FR"/>
        </w:rPr>
      </w:pPr>
      <w:r>
        <w:rPr>
          <w:rFonts w:hint="default" w:ascii="Times New Roman" w:hAnsi="Times New Roman" w:cs="Times New Roman"/>
          <w:sz w:val="28"/>
          <w:szCs w:val="28"/>
          <w:lang w:val="fr-FR"/>
        </w:rPr>
        <w:t>Le point commun est que ça produit de l’énergie</w:t>
      </w:r>
      <w:bookmarkStart w:id="0" w:name="_GoBack"/>
      <w:bookmarkEnd w:id="0"/>
    </w:p>
    <w:sectPr>
      <w:pgSz w:w="16838" w:h="11906" w:orient="landscape"/>
      <w:pgMar w:top="851" w:right="1417" w:bottom="426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740D8"/>
    <w:multiLevelType w:val="multilevel"/>
    <w:tmpl w:val="206740D8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65"/>
    <w:rsid w:val="008B5BE1"/>
    <w:rsid w:val="00AB619F"/>
    <w:rsid w:val="00CA342D"/>
    <w:rsid w:val="00CB771C"/>
    <w:rsid w:val="00CF66FC"/>
    <w:rsid w:val="00EE65B1"/>
    <w:rsid w:val="00FD2765"/>
    <w:rsid w:val="7C1A2C0D"/>
    <w:rsid w:val="7DE3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fr-F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114</Words>
  <Characters>633</Characters>
  <Lines>5</Lines>
  <Paragraphs>1</Paragraphs>
  <TotalTime>79</TotalTime>
  <ScaleCrop>false</ScaleCrop>
  <LinksUpToDate>false</LinksUpToDate>
  <CharactersWithSpaces>746</CharactersWithSpaces>
  <Application>WPS Office_11.2.0.8342_F1E327BC-269C-435d-A152-05C5408002CA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2020-05-03T08:34:00Z</dcterms:created>
  <dc:creator>antoine nn</dc:creator>
  <cp:lastModifiedBy>ASUS</cp:lastModifiedBy>
  <dcterms:modified xsi:type="dcterms:W3CDTF">2020-05-07T17:50:17Z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